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3DAF" w14:textId="79DB0657" w:rsidR="00AB2CE5" w:rsidRPr="00C2438B" w:rsidRDefault="00AB2CE5" w:rsidP="00507582">
      <w:pPr>
        <w:spacing w:before="120" w:after="0"/>
        <w:rPr>
          <w:color w:val="005A9C"/>
        </w:rPr>
        <w:sectPr w:rsidR="00AB2CE5" w:rsidRPr="00C2438B" w:rsidSect="00C243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261" w:right="849" w:bottom="1134" w:left="851" w:header="1695" w:footer="405" w:gutter="0"/>
          <w:cols w:space="708"/>
          <w:titlePg/>
          <w:docGrid w:linePitch="360"/>
        </w:sectPr>
      </w:pPr>
    </w:p>
    <w:p w14:paraId="07F2E98B" w14:textId="4B522C59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>What is the purpose of the</w:t>
      </w:r>
      <w:r w:rsidR="00720622">
        <w:rPr>
          <w:b/>
          <w:bCs/>
          <w:color w:val="005A9C"/>
        </w:rPr>
        <w:t xml:space="preserve"> </w:t>
      </w:r>
      <w:r w:rsidR="00435154">
        <w:rPr>
          <w:b/>
          <w:bCs/>
          <w:color w:val="005A9C"/>
        </w:rPr>
        <w:t>Director’s Guideline (DGL)</w:t>
      </w:r>
      <w:r w:rsidR="00435154">
        <w:rPr>
          <w:b/>
          <w:bCs/>
          <w:color w:val="005A9C"/>
        </w:rPr>
        <w:t xml:space="preserve"> for </w:t>
      </w:r>
      <w:r w:rsidRPr="00C2438B">
        <w:rPr>
          <w:b/>
          <w:bCs/>
          <w:color w:val="005A9C"/>
        </w:rPr>
        <w:t>Emergency Management Sector Deployments</w:t>
      </w:r>
      <w:r w:rsidR="00435154">
        <w:rPr>
          <w:b/>
          <w:bCs/>
          <w:color w:val="005A9C"/>
        </w:rPr>
        <w:t>?</w:t>
      </w:r>
      <w:r w:rsidR="00720622">
        <w:rPr>
          <w:b/>
          <w:bCs/>
          <w:color w:val="005A9C"/>
        </w:rPr>
        <w:t xml:space="preserve"> </w:t>
      </w:r>
    </w:p>
    <w:p w14:paraId="62A0A8E1" w14:textId="530CCA86" w:rsidR="000627C6" w:rsidRPr="00D81AD5" w:rsidRDefault="00753544" w:rsidP="00C2438B">
      <w:pPr>
        <w:rPr>
          <w:b/>
          <w:bCs/>
        </w:rPr>
      </w:pPr>
      <w:r>
        <w:t xml:space="preserve">The DGL provides a consistent approach to staff deployments within the CDEM sector, and for wider public sector staff deployed to support a CDEM response. It provides best practice guidance around deployments considering the importance of health, wellbeing, and fatigue management of deployed staff. </w:t>
      </w:r>
    </w:p>
    <w:p w14:paraId="0D396A9A" w14:textId="77777777" w:rsidR="00C2438B" w:rsidRPr="00026929" w:rsidRDefault="00C2438B" w:rsidP="00C2438B"/>
    <w:p w14:paraId="1D878A9C" w14:textId="605994D0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>Why do we need to have a DGL</w:t>
      </w:r>
      <w:r w:rsidR="000627C6">
        <w:rPr>
          <w:b/>
          <w:bCs/>
          <w:color w:val="005A9C"/>
        </w:rPr>
        <w:t xml:space="preserve"> for sector deployments</w:t>
      </w:r>
      <w:r w:rsidRPr="00C2438B">
        <w:rPr>
          <w:b/>
          <w:bCs/>
          <w:color w:val="005A9C"/>
        </w:rPr>
        <w:t>?</w:t>
      </w:r>
    </w:p>
    <w:p w14:paraId="09BF6748" w14:textId="2439F661" w:rsidR="00753544" w:rsidRPr="00ED705A" w:rsidRDefault="00753544" w:rsidP="00753544">
      <w:r>
        <w:t>Multiple large-scale events in recent years have provided many lessons on what constitutes best practice deployments</w:t>
      </w:r>
      <w:r w:rsidR="00720622">
        <w:t>. T</w:t>
      </w:r>
      <w:r>
        <w:t>h</w:t>
      </w:r>
      <w:r w:rsidR="00720622">
        <w:t>e</w:t>
      </w:r>
      <w:r>
        <w:t xml:space="preserve"> guideline</w:t>
      </w:r>
      <w:r w:rsidR="00720622">
        <w:t>s</w:t>
      </w:r>
      <w:r>
        <w:t xml:space="preserve"> </w:t>
      </w:r>
      <w:r w:rsidR="00720622">
        <w:t>incorporate</w:t>
      </w:r>
      <w:r>
        <w:t xml:space="preserve"> those lessons to support a consistent deployment approach for the sector.</w:t>
      </w:r>
    </w:p>
    <w:p w14:paraId="36B64C71" w14:textId="421202DC" w:rsidR="000627C6" w:rsidRDefault="00753544" w:rsidP="00C2438B">
      <w:r>
        <w:t xml:space="preserve">The guidance in the DGL is aligned </w:t>
      </w:r>
      <w:r w:rsidR="00C2438B" w:rsidRPr="00026929">
        <w:t xml:space="preserve">with </w:t>
      </w:r>
      <w:r>
        <w:t>other</w:t>
      </w:r>
      <w:r w:rsidRPr="00026929">
        <w:t xml:space="preserve"> </w:t>
      </w:r>
      <w:r w:rsidR="00C2438B" w:rsidRPr="00026929">
        <w:t xml:space="preserve">continuous improvements </w:t>
      </w:r>
      <w:r w:rsidR="000627C6">
        <w:t xml:space="preserve">actions </w:t>
      </w:r>
      <w:r>
        <w:t xml:space="preserve">being </w:t>
      </w:r>
      <w:r w:rsidR="00C2438B" w:rsidRPr="00026929">
        <w:t xml:space="preserve">made within the sector. </w:t>
      </w:r>
    </w:p>
    <w:p w14:paraId="2EF4C092" w14:textId="17F97382" w:rsidR="000627C6" w:rsidRDefault="000627C6" w:rsidP="00C2438B">
      <w:r>
        <w:t xml:space="preserve">Producing a sector deployment </w:t>
      </w:r>
      <w:r w:rsidR="007B0547" w:rsidRPr="00026929">
        <w:t>DGL was</w:t>
      </w:r>
      <w:r>
        <w:t xml:space="preserve"> identified as</w:t>
      </w:r>
      <w:r w:rsidR="007B0547" w:rsidRPr="00026929">
        <w:t xml:space="preserve"> a priority workstream for the sector</w:t>
      </w:r>
      <w:r>
        <w:t xml:space="preserve"> in the CDEM / NEMA</w:t>
      </w:r>
      <w:r w:rsidRPr="00026929">
        <w:t xml:space="preserve"> Partnership Charter 2022</w:t>
      </w:r>
      <w:r w:rsidR="00720622">
        <w:t xml:space="preserve">. The guidelines were </w:t>
      </w:r>
      <w:r w:rsidR="00720622" w:rsidRPr="00026929">
        <w:t xml:space="preserve">built </w:t>
      </w:r>
      <w:r w:rsidR="00720622">
        <w:t>using</w:t>
      </w:r>
      <w:r w:rsidR="00720622" w:rsidRPr="00026929">
        <w:t xml:space="preserve"> a set of </w:t>
      </w:r>
      <w:r w:rsidR="00720622">
        <w:t>p</w:t>
      </w:r>
      <w:r w:rsidR="00720622" w:rsidRPr="00026929">
        <w:t>rinciples agreed</w:t>
      </w:r>
      <w:r w:rsidR="00720622">
        <w:t xml:space="preserve"> upon</w:t>
      </w:r>
      <w:r w:rsidR="00720622" w:rsidRPr="00026929">
        <w:t xml:space="preserve"> </w:t>
      </w:r>
      <w:r w:rsidR="00720622">
        <w:t>by</w:t>
      </w:r>
      <w:r w:rsidR="00720622" w:rsidRPr="00026929">
        <w:t xml:space="preserve"> CDEM Groups and NEMA.</w:t>
      </w:r>
    </w:p>
    <w:p w14:paraId="73DD3B3E" w14:textId="06C6EED7" w:rsidR="00C2438B" w:rsidRDefault="007B0547" w:rsidP="00C2438B">
      <w:r w:rsidRPr="00026929">
        <w:t xml:space="preserve">The </w:t>
      </w:r>
      <w:r w:rsidR="000627C6">
        <w:t>creation of the DGL</w:t>
      </w:r>
      <w:r w:rsidRPr="00026929">
        <w:t xml:space="preserve"> was also identified as a North Island Severe Weather Event 2023 (NISWE) After Action Review priority for NEMA. </w:t>
      </w:r>
    </w:p>
    <w:p w14:paraId="4511C394" w14:textId="77777777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>Does this replace any other guidance?</w:t>
      </w:r>
    </w:p>
    <w:p w14:paraId="73209B8A" w14:textId="18C54FAD" w:rsidR="000627C6" w:rsidRDefault="00065294" w:rsidP="00C2438B">
      <w:r>
        <w:t>The DGL</w:t>
      </w:r>
      <w:r w:rsidR="007B0547">
        <w:t xml:space="preserve"> will serve as the primary guidance for CDEM deployments but can be used in conjunction with individual agencies </w:t>
      </w:r>
      <w:r w:rsidR="002B7ABB">
        <w:t xml:space="preserve">existing deployment </w:t>
      </w:r>
      <w:r w:rsidR="007B0547">
        <w:t xml:space="preserve">policies. </w:t>
      </w:r>
    </w:p>
    <w:p w14:paraId="5588D5B0" w14:textId="648E61B5" w:rsidR="00C2438B" w:rsidRDefault="00C2438B" w:rsidP="00C2438B">
      <w:r w:rsidRPr="00026929">
        <w:t xml:space="preserve"> </w:t>
      </w:r>
    </w:p>
    <w:p w14:paraId="7D7AA15E" w14:textId="508E414E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 xml:space="preserve">Do CDEM </w:t>
      </w:r>
      <w:r w:rsidR="000627C6">
        <w:rPr>
          <w:b/>
          <w:bCs/>
          <w:color w:val="005A9C"/>
        </w:rPr>
        <w:t>G</w:t>
      </w:r>
      <w:r w:rsidRPr="00C2438B">
        <w:rPr>
          <w:b/>
          <w:bCs/>
          <w:color w:val="005A9C"/>
        </w:rPr>
        <w:t>roups need to do anything to apply the DGL?</w:t>
      </w:r>
    </w:p>
    <w:p w14:paraId="54A6FCEF" w14:textId="493FA02C" w:rsidR="000627C6" w:rsidRDefault="00C2438B" w:rsidP="00C2438B">
      <w:r w:rsidRPr="00026929">
        <w:t xml:space="preserve">The Civil Defence Emergency Management Act 2002 specifies that CDEM Groups must take account of DGL’s. CDEM Groups </w:t>
      </w:r>
      <w:r w:rsidR="00FA6751">
        <w:t xml:space="preserve">deploying </w:t>
      </w:r>
      <w:r w:rsidR="00720622">
        <w:t>staff or</w:t>
      </w:r>
      <w:r w:rsidR="00FA6751">
        <w:t xml:space="preserve"> receiving deployed staff</w:t>
      </w:r>
      <w:r w:rsidRPr="00026929">
        <w:t xml:space="preserve"> </w:t>
      </w:r>
      <w:r>
        <w:t>must</w:t>
      </w:r>
      <w:r w:rsidRPr="00026929">
        <w:t xml:space="preserve"> ensure that </w:t>
      </w:r>
      <w:r w:rsidR="00FA6751">
        <w:t xml:space="preserve">they are following the </w:t>
      </w:r>
      <w:r w:rsidR="00720622">
        <w:t>guidelines and</w:t>
      </w:r>
      <w:r w:rsidR="00FA6751">
        <w:t xml:space="preserve"> implementing best practice in line with the DGL.</w:t>
      </w:r>
    </w:p>
    <w:p w14:paraId="44065636" w14:textId="77777777" w:rsidR="00C2438B" w:rsidRPr="00026929" w:rsidRDefault="00C2438B" w:rsidP="00C2438B"/>
    <w:p w14:paraId="250A64A6" w14:textId="77777777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>Does the DGL include roles and responsibilities during deployments?</w:t>
      </w:r>
    </w:p>
    <w:p w14:paraId="1AC40B13" w14:textId="39B8C46A" w:rsidR="00C2438B" w:rsidRDefault="00C2438B" w:rsidP="00C2438B">
      <w:r w:rsidRPr="00026929">
        <w:t>The DGL identifies roles and responsibilities throughout the deployment process</w:t>
      </w:r>
      <w:r w:rsidR="00720622">
        <w:t>.</w:t>
      </w:r>
      <w:r w:rsidRPr="00026929">
        <w:t xml:space="preserve"> </w:t>
      </w:r>
      <w:r w:rsidR="00720622">
        <w:t>T</w:t>
      </w:r>
      <w:r w:rsidRPr="00026929">
        <w:t xml:space="preserve">he </w:t>
      </w:r>
      <w:r w:rsidR="000627C6">
        <w:t>p</w:t>
      </w:r>
      <w:r w:rsidRPr="00026929">
        <w:t xml:space="preserve">rocess </w:t>
      </w:r>
      <w:r w:rsidR="000627C6">
        <w:t>m</w:t>
      </w:r>
      <w:r w:rsidRPr="00026929">
        <w:t xml:space="preserve">ap </w:t>
      </w:r>
      <w:r w:rsidR="000627C6">
        <w:t>in</w:t>
      </w:r>
      <w:r w:rsidR="000627C6" w:rsidRPr="00026929">
        <w:t xml:space="preserve"> </w:t>
      </w:r>
      <w:r>
        <w:t>Appendi</w:t>
      </w:r>
      <w:r w:rsidRPr="00026929">
        <w:t>x A</w:t>
      </w:r>
      <w:r w:rsidR="00FA6751">
        <w:t xml:space="preserve"> of the DGL document</w:t>
      </w:r>
      <w:r w:rsidRPr="00026929">
        <w:t xml:space="preserve"> summarises the</w:t>
      </w:r>
      <w:r w:rsidR="00720622">
        <w:t xml:space="preserve">se </w:t>
      </w:r>
      <w:r w:rsidR="00FA6751">
        <w:t>in</w:t>
      </w:r>
      <w:r w:rsidR="00FA6751" w:rsidRPr="00026929">
        <w:t xml:space="preserve"> </w:t>
      </w:r>
      <w:r w:rsidRPr="00026929">
        <w:t>diagrammatical form.</w:t>
      </w:r>
    </w:p>
    <w:p w14:paraId="4EB524A4" w14:textId="77777777" w:rsidR="00C2438B" w:rsidRPr="00026929" w:rsidRDefault="00C2438B" w:rsidP="00C2438B"/>
    <w:p w14:paraId="6DE9986A" w14:textId="77777777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>Does NEMA coordinate the deployment of staff to all emergency events?</w:t>
      </w:r>
    </w:p>
    <w:p w14:paraId="35890369" w14:textId="12D9E690" w:rsidR="00C2438B" w:rsidRDefault="00C2438B" w:rsidP="00C2438B">
      <w:r w:rsidRPr="00026929">
        <w:t>No, NEMA only coordinate</w:t>
      </w:r>
      <w:r>
        <w:t>s</w:t>
      </w:r>
      <w:r w:rsidRPr="00026929">
        <w:t xml:space="preserve"> the deployment of staff when a </w:t>
      </w:r>
      <w:r w:rsidR="00720622">
        <w:t>CDEM Group</w:t>
      </w:r>
      <w:r w:rsidRPr="00026929">
        <w:t xml:space="preserve"> ha</w:t>
      </w:r>
      <w:r w:rsidR="00720622">
        <w:t xml:space="preserve">s </w:t>
      </w:r>
      <w:r w:rsidRPr="00026929">
        <w:t>specifically placed a resource request with NEMA. When the NCC/NCMC are activated</w:t>
      </w:r>
      <w:r w:rsidR="00FA6751">
        <w:t>, the</w:t>
      </w:r>
      <w:r w:rsidR="00FA6751" w:rsidRPr="00026929">
        <w:t xml:space="preserve"> Logistics</w:t>
      </w:r>
      <w:r w:rsidRPr="00026929">
        <w:t xml:space="preserve"> and Operations </w:t>
      </w:r>
      <w:r w:rsidRPr="00026929">
        <w:lastRenderedPageBreak/>
        <w:t xml:space="preserve">functions </w:t>
      </w:r>
      <w:r>
        <w:t>may</w:t>
      </w:r>
      <w:r w:rsidRPr="00026929">
        <w:t xml:space="preserve"> coordinate deployments to impacted regions</w:t>
      </w:r>
      <w:r w:rsidR="00FA6751">
        <w:t xml:space="preserve"> on behalf of CDEM Groups</w:t>
      </w:r>
      <w:r w:rsidR="00720622">
        <w:t xml:space="preserve">. </w:t>
      </w:r>
    </w:p>
    <w:p w14:paraId="691B3E44" w14:textId="77777777" w:rsidR="00C2438B" w:rsidRPr="00026929" w:rsidRDefault="00C2438B" w:rsidP="00C2438B"/>
    <w:p w14:paraId="64549202" w14:textId="5D50B9E9" w:rsidR="00C2438B" w:rsidRPr="00C2438B" w:rsidRDefault="00DB6ADE" w:rsidP="00C2438B">
      <w:pPr>
        <w:rPr>
          <w:b/>
          <w:bCs/>
          <w:color w:val="005A9C"/>
        </w:rPr>
      </w:pPr>
      <w:r>
        <w:rPr>
          <w:b/>
          <w:bCs/>
          <w:color w:val="005A9C"/>
        </w:rPr>
        <w:t>What is the rationale behind the 1:5:1:2</w:t>
      </w:r>
      <w:r w:rsidR="00F03046">
        <w:rPr>
          <w:b/>
          <w:bCs/>
          <w:color w:val="005A9C"/>
        </w:rPr>
        <w:t xml:space="preserve"> deployment ratio?</w:t>
      </w:r>
      <w:r>
        <w:rPr>
          <w:b/>
          <w:bCs/>
          <w:color w:val="005A9C"/>
        </w:rPr>
        <w:t xml:space="preserve"> </w:t>
      </w:r>
    </w:p>
    <w:p w14:paraId="46731025" w14:textId="1E27ECF4" w:rsidR="00C2438B" w:rsidRDefault="00C2438B" w:rsidP="00C2438B">
      <w:pPr>
        <w:rPr>
          <w:b/>
          <w:bCs/>
        </w:rPr>
      </w:pPr>
      <w:r w:rsidRPr="00026929">
        <w:t>This ratio</w:t>
      </w:r>
      <w:r w:rsidR="000627C6">
        <w:t xml:space="preserve"> was decided upon</w:t>
      </w:r>
      <w:r w:rsidRPr="00026929">
        <w:t xml:space="preserve"> </w:t>
      </w:r>
      <w:r w:rsidR="000627C6" w:rsidRPr="00026929">
        <w:t>consider</w:t>
      </w:r>
      <w:r w:rsidR="000627C6">
        <w:t>ing</w:t>
      </w:r>
      <w:r w:rsidRPr="00026929">
        <w:t xml:space="preserve"> the </w:t>
      </w:r>
      <w:r w:rsidR="00F03046">
        <w:t>d</w:t>
      </w:r>
      <w:r w:rsidRPr="00026929">
        <w:t>eployee</w:t>
      </w:r>
      <w:r w:rsidR="00F03046">
        <w:t>’</w:t>
      </w:r>
      <w:r w:rsidRPr="00026929">
        <w:t>s health</w:t>
      </w:r>
      <w:r w:rsidR="001B6355">
        <w:t xml:space="preserve">, </w:t>
      </w:r>
      <w:r w:rsidRPr="00026929">
        <w:t xml:space="preserve">wellbeing and fatigue management under the </w:t>
      </w:r>
      <w:r w:rsidR="001B6355" w:rsidRPr="00026929">
        <w:t>Health</w:t>
      </w:r>
      <w:r w:rsidRPr="00026929">
        <w:t xml:space="preserve"> and Safety at Work Act 2015. CDEM Groups agreed on this ratio, with the ability to extend a deployment with the extension ratio</w:t>
      </w:r>
      <w:r>
        <w:t xml:space="preserve"> of</w:t>
      </w:r>
      <w:r w:rsidRPr="00026929">
        <w:t xml:space="preserve"> </w:t>
      </w:r>
      <w:r w:rsidRPr="00026929">
        <w:rPr>
          <w:b/>
          <w:bCs/>
        </w:rPr>
        <w:t>1:5:2:5:1:2</w:t>
      </w:r>
      <w:r>
        <w:rPr>
          <w:b/>
          <w:bCs/>
        </w:rPr>
        <w:t>.</w:t>
      </w:r>
    </w:p>
    <w:p w14:paraId="6B8B51E3" w14:textId="77777777" w:rsidR="00F03046" w:rsidRPr="00026929" w:rsidRDefault="00F03046" w:rsidP="00C2438B">
      <w:pPr>
        <w:rPr>
          <w:b/>
          <w:bCs/>
        </w:rPr>
      </w:pPr>
    </w:p>
    <w:p w14:paraId="09058219" w14:textId="7CBA0390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 xml:space="preserve">Who is responsible for the </w:t>
      </w:r>
      <w:r w:rsidR="00F03046">
        <w:rPr>
          <w:b/>
          <w:bCs/>
          <w:color w:val="005A9C"/>
        </w:rPr>
        <w:t>d</w:t>
      </w:r>
      <w:r w:rsidRPr="00C2438B">
        <w:rPr>
          <w:b/>
          <w:bCs/>
          <w:color w:val="005A9C"/>
        </w:rPr>
        <w:t>eployee’s health and wellbeing and safety?</w:t>
      </w:r>
    </w:p>
    <w:p w14:paraId="523E2445" w14:textId="5E6AE1BD" w:rsidR="00C2438B" w:rsidRDefault="00C2438B" w:rsidP="00C2438B">
      <w:r w:rsidRPr="00026929">
        <w:t xml:space="preserve">There are overlapping responsibilities under the Health and Safety at Work Act 2015. For an event where the </w:t>
      </w:r>
      <w:r w:rsidR="00F03046">
        <w:t>r</w:t>
      </w:r>
      <w:r w:rsidRPr="00026929">
        <w:t xml:space="preserve">equesting </w:t>
      </w:r>
      <w:r w:rsidR="00F03046">
        <w:t>a</w:t>
      </w:r>
      <w:r w:rsidRPr="00026929">
        <w:t xml:space="preserve">gency requests surge support from the </w:t>
      </w:r>
      <w:r w:rsidR="00F03046">
        <w:t>h</w:t>
      </w:r>
      <w:r w:rsidRPr="00026929">
        <w:t xml:space="preserve">ome </w:t>
      </w:r>
      <w:r w:rsidR="00F03046">
        <w:t>a</w:t>
      </w:r>
      <w:r w:rsidRPr="00026929">
        <w:t>gency</w:t>
      </w:r>
      <w:r w:rsidR="00F03046">
        <w:t>,</w:t>
      </w:r>
      <w:r w:rsidRPr="00026929">
        <w:t xml:space="preserve"> both </w:t>
      </w:r>
      <w:r w:rsidR="00F03046">
        <w:t xml:space="preserve">hold joint responsibility for </w:t>
      </w:r>
      <w:r w:rsidRPr="00026929">
        <w:t xml:space="preserve">staff. NEMA </w:t>
      </w:r>
      <w:r w:rsidR="00F03046">
        <w:t>is</w:t>
      </w:r>
      <w:r w:rsidR="00F03046" w:rsidRPr="00026929">
        <w:t xml:space="preserve"> </w:t>
      </w:r>
      <w:r w:rsidRPr="00026929">
        <w:t xml:space="preserve">also responsible when requested to coordinate deployments. </w:t>
      </w:r>
    </w:p>
    <w:p w14:paraId="6141C1ED" w14:textId="77777777" w:rsidR="00C2438B" w:rsidRPr="00C2438B" w:rsidRDefault="00C2438B" w:rsidP="00C2438B"/>
    <w:p w14:paraId="2E4313FC" w14:textId="77777777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>Who in NEMA is responsible for overseeing deployments from a national perspective?</w:t>
      </w:r>
    </w:p>
    <w:p w14:paraId="5E627540" w14:textId="56C9ACFD" w:rsidR="00C2438B" w:rsidRDefault="00C2438B" w:rsidP="00C2438B">
      <w:r w:rsidRPr="00026929">
        <w:t xml:space="preserve">The Deployable Capabilities Team in NEMA are the subject matter experts in </w:t>
      </w:r>
      <w:r w:rsidR="00720622" w:rsidRPr="00026929">
        <w:t>deployments and</w:t>
      </w:r>
      <w:r w:rsidRPr="00026929">
        <w:t xml:space="preserve"> can answer any questions you may have that are not covered in the DGL. When an impacted region requests surge support during a response, the NCC/NCMC Operations and Logistics functions will oversee the coordination of deployments. </w:t>
      </w:r>
    </w:p>
    <w:p w14:paraId="1462B02F" w14:textId="77777777" w:rsidR="00C2438B" w:rsidRDefault="00C2438B" w:rsidP="00C2438B"/>
    <w:p w14:paraId="0D481DAC" w14:textId="77777777" w:rsidR="00406537" w:rsidRDefault="00406537" w:rsidP="00C2438B"/>
    <w:p w14:paraId="0238F5C4" w14:textId="77777777" w:rsidR="00C2438B" w:rsidRPr="00C2438B" w:rsidRDefault="00C2438B" w:rsidP="00C2438B">
      <w:pPr>
        <w:rPr>
          <w:b/>
          <w:bCs/>
          <w:color w:val="005A9C"/>
        </w:rPr>
      </w:pPr>
      <w:r w:rsidRPr="00C2438B">
        <w:rPr>
          <w:b/>
          <w:bCs/>
          <w:color w:val="005A9C"/>
        </w:rPr>
        <w:t>What support arrangements are in place to embed the DGL?</w:t>
      </w:r>
    </w:p>
    <w:p w14:paraId="5E3907B0" w14:textId="22A6F6AD" w:rsidR="00C2438B" w:rsidRPr="003E6D0E" w:rsidRDefault="00C2438B" w:rsidP="00C2438B">
      <w:r w:rsidRPr="003E6D0E">
        <w:t xml:space="preserve">NEMA Deployable Capabilities Team will undertake </w:t>
      </w:r>
      <w:r>
        <w:t xml:space="preserve">online </w:t>
      </w:r>
      <w:r w:rsidRPr="003E6D0E">
        <w:t>roadshows for Controllers, Operations and Logistics staff in 2024. Talk to your Regional Emergency Management Advisor (REMA) if you would like other specific support.</w:t>
      </w:r>
    </w:p>
    <w:p w14:paraId="739190BC" w14:textId="77777777" w:rsidR="00C2438B" w:rsidRPr="00026929" w:rsidRDefault="00C2438B" w:rsidP="00C2438B"/>
    <w:p w14:paraId="39C18CB6" w14:textId="70787C5F" w:rsidR="006F0A00" w:rsidRPr="00807CE6" w:rsidRDefault="006F0A00" w:rsidP="00C2438B">
      <w:pPr>
        <w:spacing w:before="120" w:after="0" w:line="257" w:lineRule="auto"/>
      </w:pPr>
    </w:p>
    <w:sectPr w:rsidR="006F0A00" w:rsidRPr="00807CE6" w:rsidSect="00666A00">
      <w:type w:val="continuous"/>
      <w:pgSz w:w="11906" w:h="16838"/>
      <w:pgMar w:top="993" w:right="849" w:bottom="1134" w:left="851" w:header="3" w:footer="405" w:gutter="0"/>
      <w:cols w:num="2"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3AEF" w14:textId="77777777" w:rsidR="00807CE6" w:rsidRDefault="00807CE6" w:rsidP="00807CE6">
      <w:pPr>
        <w:spacing w:after="0"/>
      </w:pPr>
      <w:r>
        <w:separator/>
      </w:r>
    </w:p>
  </w:endnote>
  <w:endnote w:type="continuationSeparator" w:id="0">
    <w:p w14:paraId="7C946947" w14:textId="77777777" w:rsidR="00807CE6" w:rsidRDefault="00807CE6" w:rsidP="00807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BF32" w14:textId="39914829" w:rsidR="00366825" w:rsidRDefault="00791E29">
    <w:pPr>
      <w:pStyle w:val="Footer"/>
    </w:pPr>
    <w:r>
      <w:rPr>
        <w:b/>
        <w:bCs/>
      </w:rPr>
      <w:t>September</w:t>
    </w:r>
    <w:r w:rsidRPr="00D17477">
      <w:rPr>
        <w:b/>
        <w:bCs/>
      </w:rPr>
      <w:t xml:space="preserve"> </w:t>
    </w:r>
    <w:r w:rsidR="00D17477" w:rsidRPr="00D17477">
      <w:rPr>
        <w:b/>
        <w:bCs/>
      </w:rPr>
      <w:t>2022</w:t>
    </w:r>
    <w:r w:rsidR="00366825">
      <w:ptab w:relativeTo="margin" w:alignment="center" w:leader="none"/>
    </w:r>
    <w:bookmarkStart w:id="0" w:name="_Hlk112421455"/>
    <w:r w:rsidR="00A64F89" w:rsidRPr="00A64F89">
      <w:rPr>
        <w:b/>
        <w:bCs/>
      </w:rPr>
      <w:t>www.civildefence.govt.nz</w:t>
    </w:r>
    <w:bookmarkEnd w:id="0"/>
    <w:r w:rsidR="00366825">
      <w:ptab w:relativeTo="margin" w:alignment="right" w:leader="none"/>
    </w:r>
    <w:r w:rsidR="00366825">
      <w:t xml:space="preserve">Page </w:t>
    </w:r>
    <w:r w:rsidR="00366825">
      <w:rPr>
        <w:b/>
        <w:bCs/>
      </w:rPr>
      <w:fldChar w:fldCharType="begin"/>
    </w:r>
    <w:r w:rsidR="00366825">
      <w:rPr>
        <w:b/>
        <w:bCs/>
      </w:rPr>
      <w:instrText xml:space="preserve"> PAGE  \* Arabic  \* MERGEFORMAT </w:instrText>
    </w:r>
    <w:r w:rsidR="00366825">
      <w:rPr>
        <w:b/>
        <w:bCs/>
      </w:rPr>
      <w:fldChar w:fldCharType="separate"/>
    </w:r>
    <w:r w:rsidR="00366825">
      <w:rPr>
        <w:b/>
        <w:bCs/>
        <w:noProof/>
      </w:rPr>
      <w:t>1</w:t>
    </w:r>
    <w:r w:rsidR="00366825">
      <w:rPr>
        <w:b/>
        <w:bCs/>
      </w:rPr>
      <w:fldChar w:fldCharType="end"/>
    </w:r>
    <w:r w:rsidR="00366825">
      <w:t xml:space="preserve"> of </w:t>
    </w:r>
    <w:r w:rsidR="00366825">
      <w:rPr>
        <w:b/>
        <w:bCs/>
      </w:rPr>
      <w:fldChar w:fldCharType="begin"/>
    </w:r>
    <w:r w:rsidR="00366825">
      <w:rPr>
        <w:b/>
        <w:bCs/>
      </w:rPr>
      <w:instrText xml:space="preserve"> NUMPAGES  \* Arabic  \* MERGEFORMAT </w:instrText>
    </w:r>
    <w:r w:rsidR="00366825">
      <w:rPr>
        <w:b/>
        <w:bCs/>
      </w:rPr>
      <w:fldChar w:fldCharType="separate"/>
    </w:r>
    <w:r w:rsidR="00366825">
      <w:rPr>
        <w:b/>
        <w:bCs/>
        <w:noProof/>
      </w:rPr>
      <w:t>2</w:t>
    </w:r>
    <w:r w:rsidR="00366825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6563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33B57" w14:textId="12A3D4DD" w:rsidR="00E10286" w:rsidRDefault="00791E29" w:rsidP="00E10286">
            <w:pPr>
              <w:pStyle w:val="Footer"/>
              <w:jc w:val="right"/>
            </w:pPr>
            <w:r>
              <w:rPr>
                <w:b/>
                <w:bCs/>
              </w:rPr>
              <w:t>September</w:t>
            </w:r>
            <w:r w:rsidRPr="00D17477">
              <w:rPr>
                <w:b/>
                <w:bCs/>
              </w:rPr>
              <w:t xml:space="preserve"> </w:t>
            </w:r>
            <w:r w:rsidR="00D17477" w:rsidRPr="00D17477">
              <w:rPr>
                <w:b/>
                <w:bCs/>
              </w:rPr>
              <w:t>2022</w:t>
            </w:r>
            <w:r w:rsidR="00E10286">
              <w:ptab w:relativeTo="margin" w:alignment="center" w:leader="none"/>
            </w:r>
            <w:r w:rsidR="00E10286" w:rsidRPr="00A64F89">
              <w:rPr>
                <w:b/>
                <w:bCs/>
              </w:rPr>
              <w:t>www.civildefence.govt.nz</w:t>
            </w:r>
            <w:r w:rsidR="00E10286">
              <w:ptab w:relativeTo="margin" w:alignment="right" w:leader="none"/>
            </w:r>
            <w:r w:rsidR="00E10286">
              <w:t xml:space="preserve">Page </w:t>
            </w:r>
            <w:r w:rsidR="00E10286">
              <w:rPr>
                <w:b/>
                <w:bCs/>
                <w:sz w:val="24"/>
                <w:szCs w:val="24"/>
              </w:rPr>
              <w:fldChar w:fldCharType="begin"/>
            </w:r>
            <w:r w:rsidR="00E10286">
              <w:rPr>
                <w:b/>
                <w:bCs/>
              </w:rPr>
              <w:instrText xml:space="preserve"> PAGE </w:instrText>
            </w:r>
            <w:r w:rsidR="00E10286">
              <w:rPr>
                <w:b/>
                <w:bCs/>
                <w:sz w:val="24"/>
                <w:szCs w:val="24"/>
              </w:rPr>
              <w:fldChar w:fldCharType="separate"/>
            </w:r>
            <w:r w:rsidR="00E10286">
              <w:rPr>
                <w:b/>
                <w:bCs/>
                <w:noProof/>
              </w:rPr>
              <w:t>2</w:t>
            </w:r>
            <w:r w:rsidR="00E10286">
              <w:rPr>
                <w:b/>
                <w:bCs/>
                <w:sz w:val="24"/>
                <w:szCs w:val="24"/>
              </w:rPr>
              <w:fldChar w:fldCharType="end"/>
            </w:r>
            <w:r w:rsidR="00E10286">
              <w:t xml:space="preserve"> of </w:t>
            </w:r>
            <w:r w:rsidR="00E10286">
              <w:rPr>
                <w:b/>
                <w:bCs/>
                <w:sz w:val="24"/>
                <w:szCs w:val="24"/>
              </w:rPr>
              <w:fldChar w:fldCharType="begin"/>
            </w:r>
            <w:r w:rsidR="00E10286">
              <w:rPr>
                <w:b/>
                <w:bCs/>
              </w:rPr>
              <w:instrText xml:space="preserve"> NUMPAGES  </w:instrText>
            </w:r>
            <w:r w:rsidR="00E10286">
              <w:rPr>
                <w:b/>
                <w:bCs/>
                <w:sz w:val="24"/>
                <w:szCs w:val="24"/>
              </w:rPr>
              <w:fldChar w:fldCharType="separate"/>
            </w:r>
            <w:r w:rsidR="00E10286">
              <w:rPr>
                <w:b/>
                <w:bCs/>
                <w:noProof/>
              </w:rPr>
              <w:t>2</w:t>
            </w:r>
            <w:r w:rsidR="00E102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8E41" w14:textId="77777777" w:rsidR="00807CE6" w:rsidRDefault="00807CE6" w:rsidP="00807CE6">
      <w:pPr>
        <w:spacing w:after="0"/>
      </w:pPr>
      <w:r>
        <w:separator/>
      </w:r>
    </w:p>
  </w:footnote>
  <w:footnote w:type="continuationSeparator" w:id="0">
    <w:p w14:paraId="3D873C90" w14:textId="77777777" w:rsidR="00807CE6" w:rsidRDefault="00807CE6" w:rsidP="00807C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809F" w14:textId="2808B29C" w:rsidR="00366825" w:rsidRPr="00807CE6" w:rsidRDefault="00366825" w:rsidP="00123799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4EC4701" wp14:editId="68F27144">
          <wp:simplePos x="0" y="0"/>
          <wp:positionH relativeFrom="rightMargin">
            <wp:align>left</wp:align>
          </wp:positionH>
          <wp:positionV relativeFrom="page">
            <wp:align>top</wp:align>
          </wp:positionV>
          <wp:extent cx="1568840" cy="288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84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CE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0190577" wp14:editId="37F0367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353425" cy="2880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3425" cy="288000"/>
                      </a:xfrm>
                      <a:prstGeom prst="rect">
                        <a:avLst/>
                      </a:prstGeom>
                      <a:solidFill>
                        <a:srgbClr val="005A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D69707" id="Rectangle 2" o:spid="_x0000_s1026" style="position:absolute;margin-left:0;margin-top:0;width:657.75pt;height:22.7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" fillcolor="#005a9b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5747" w14:textId="71F7A486" w:rsidR="00123799" w:rsidRPr="00C2438B" w:rsidRDefault="00C2438B" w:rsidP="00AB2CE5">
    <w:pPr>
      <w:pStyle w:val="Title"/>
      <w:rPr>
        <w:b/>
        <w:bCs/>
      </w:rPr>
    </w:pPr>
    <w:r w:rsidRPr="00C2438B">
      <w:rPr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AEA70C5" wp14:editId="1FF4D737">
              <wp:simplePos x="0" y="0"/>
              <wp:positionH relativeFrom="column">
                <wp:posOffset>-540385</wp:posOffset>
              </wp:positionH>
              <wp:positionV relativeFrom="paragraph">
                <wp:posOffset>-1104900</wp:posOffset>
              </wp:positionV>
              <wp:extent cx="8353425" cy="2095500"/>
              <wp:effectExtent l="0" t="0" r="9525" b="0"/>
              <wp:wrapNone/>
              <wp:docPr id="141" name="Rectangl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3425" cy="2095500"/>
                      </a:xfrm>
                      <a:prstGeom prst="rect">
                        <a:avLst/>
                      </a:prstGeom>
                      <a:solidFill>
                        <a:srgbClr val="005A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B2E58" id="Rectangle 141" o:spid="_x0000_s1026" style="position:absolute;margin-left:-42.55pt;margin-top:-87pt;width:657.75pt;height:16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" fillcolor="#005a9b" stroked="f" strokeweight="1pt"/>
          </w:pict>
        </mc:Fallback>
      </mc:AlternateContent>
    </w:r>
    <w:r w:rsidR="00AB2CE5" w:rsidRPr="00C2438B">
      <w:rPr>
        <w:b/>
        <w:bCs/>
        <w:noProof/>
      </w:rPr>
      <w:drawing>
        <wp:anchor distT="0" distB="0" distL="114300" distR="114300" simplePos="0" relativeHeight="251672576" behindDoc="1" locked="0" layoutInCell="1" allowOverlap="1" wp14:anchorId="22975C39" wp14:editId="485CF062">
          <wp:simplePos x="0" y="0"/>
          <wp:positionH relativeFrom="column">
            <wp:posOffset>-8255</wp:posOffset>
          </wp:positionH>
          <wp:positionV relativeFrom="paragraph">
            <wp:posOffset>-739140</wp:posOffset>
          </wp:positionV>
          <wp:extent cx="2264410" cy="554990"/>
          <wp:effectExtent l="0" t="0" r="254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Picture 27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CE5" w:rsidRPr="00C2438B">
      <w:rPr>
        <w:b/>
        <w:bCs/>
        <w:noProof/>
      </w:rPr>
      <w:drawing>
        <wp:anchor distT="0" distB="0" distL="114300" distR="114300" simplePos="0" relativeHeight="251673600" behindDoc="1" locked="0" layoutInCell="1" allowOverlap="1" wp14:anchorId="290D6FCC" wp14:editId="4FECBEB4">
          <wp:simplePos x="0" y="0"/>
          <wp:positionH relativeFrom="column">
            <wp:posOffset>6474460</wp:posOffset>
          </wp:positionH>
          <wp:positionV relativeFrom="paragraph">
            <wp:posOffset>-1107250</wp:posOffset>
          </wp:positionV>
          <wp:extent cx="1568450" cy="28765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438B">
      <w:rPr>
        <w:b/>
        <w:bCs/>
      </w:rPr>
      <w:t>Factsheet</w:t>
    </w:r>
  </w:p>
  <w:p w14:paraId="083C140C" w14:textId="0FBFE1F1" w:rsidR="00C2438B" w:rsidRPr="00C2438B" w:rsidRDefault="00435154" w:rsidP="00C2438B">
    <w:pPr>
      <w:rPr>
        <w:b/>
        <w:bCs/>
        <w:color w:val="FFFFFF" w:themeColor="background1"/>
        <w:sz w:val="28"/>
        <w:szCs w:val="24"/>
      </w:rPr>
    </w:pPr>
    <w:r w:rsidRPr="00C2438B">
      <w:rPr>
        <w:b/>
        <w:bCs/>
        <w:color w:val="FFFFFF" w:themeColor="background1"/>
        <w:sz w:val="28"/>
        <w:szCs w:val="24"/>
      </w:rPr>
      <w:t>Director</w:t>
    </w:r>
    <w:r>
      <w:rPr>
        <w:b/>
        <w:bCs/>
        <w:color w:val="FFFFFF" w:themeColor="background1"/>
        <w:sz w:val="28"/>
        <w:szCs w:val="24"/>
      </w:rPr>
      <w:t>’</w:t>
    </w:r>
    <w:r w:rsidRPr="00C2438B">
      <w:rPr>
        <w:b/>
        <w:bCs/>
        <w:color w:val="FFFFFF" w:themeColor="background1"/>
        <w:sz w:val="28"/>
        <w:szCs w:val="24"/>
      </w:rPr>
      <w:t>s Guideline</w:t>
    </w:r>
    <w:r w:rsidRPr="00C2438B">
      <w:rPr>
        <w:b/>
        <w:bCs/>
        <w:color w:val="FFFFFF" w:themeColor="background1"/>
        <w:sz w:val="28"/>
        <w:szCs w:val="24"/>
      </w:rPr>
      <w:t xml:space="preserve"> </w:t>
    </w:r>
    <w:r>
      <w:rPr>
        <w:b/>
        <w:bCs/>
        <w:color w:val="FFFFFF" w:themeColor="background1"/>
        <w:sz w:val="28"/>
        <w:szCs w:val="24"/>
      </w:rPr>
      <w:t xml:space="preserve">for </w:t>
    </w:r>
    <w:r w:rsidR="00C2438B" w:rsidRPr="00C2438B">
      <w:rPr>
        <w:b/>
        <w:bCs/>
        <w:color w:val="FFFFFF" w:themeColor="background1"/>
        <w:sz w:val="28"/>
        <w:szCs w:val="24"/>
      </w:rPr>
      <w:t>Emergency Management Sector Deployments</w:t>
    </w:r>
    <w:r w:rsidR="00720622">
      <w:rPr>
        <w:b/>
        <w:bCs/>
        <w:color w:val="FFFFFF" w:themeColor="background1"/>
        <w:sz w:val="28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A84"/>
    <w:multiLevelType w:val="hybridMultilevel"/>
    <w:tmpl w:val="5C8E116E"/>
    <w:lvl w:ilvl="0" w:tplc="0F5C7D20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E706CC9"/>
    <w:multiLevelType w:val="hybridMultilevel"/>
    <w:tmpl w:val="D46CB0E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699423">
    <w:abstractNumId w:val="0"/>
  </w:num>
  <w:num w:numId="2" w16cid:durableId="887032682">
    <w:abstractNumId w:val="1"/>
  </w:num>
  <w:num w:numId="3" w16cid:durableId="535432753">
    <w:abstractNumId w:val="0"/>
  </w:num>
  <w:num w:numId="4" w16cid:durableId="3950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E6"/>
    <w:rsid w:val="00027DE1"/>
    <w:rsid w:val="000627C6"/>
    <w:rsid w:val="00065294"/>
    <w:rsid w:val="00097501"/>
    <w:rsid w:val="000E6228"/>
    <w:rsid w:val="000F34BC"/>
    <w:rsid w:val="00116CE2"/>
    <w:rsid w:val="00123799"/>
    <w:rsid w:val="001B6355"/>
    <w:rsid w:val="00210181"/>
    <w:rsid w:val="00234815"/>
    <w:rsid w:val="00251605"/>
    <w:rsid w:val="0028601F"/>
    <w:rsid w:val="002B7ABB"/>
    <w:rsid w:val="002C03EC"/>
    <w:rsid w:val="0031134B"/>
    <w:rsid w:val="00366825"/>
    <w:rsid w:val="00391B78"/>
    <w:rsid w:val="00406537"/>
    <w:rsid w:val="00435154"/>
    <w:rsid w:val="004C3D49"/>
    <w:rsid w:val="00507582"/>
    <w:rsid w:val="005F5F66"/>
    <w:rsid w:val="0060008A"/>
    <w:rsid w:val="0060472D"/>
    <w:rsid w:val="00666A00"/>
    <w:rsid w:val="006D5D89"/>
    <w:rsid w:val="006F0A00"/>
    <w:rsid w:val="00720622"/>
    <w:rsid w:val="00753544"/>
    <w:rsid w:val="00791E29"/>
    <w:rsid w:val="007B0547"/>
    <w:rsid w:val="007B1C37"/>
    <w:rsid w:val="007B3C8F"/>
    <w:rsid w:val="00807CE6"/>
    <w:rsid w:val="00884D74"/>
    <w:rsid w:val="008F08DB"/>
    <w:rsid w:val="00933523"/>
    <w:rsid w:val="00944D6A"/>
    <w:rsid w:val="009773F0"/>
    <w:rsid w:val="009B2EB0"/>
    <w:rsid w:val="009E0AE9"/>
    <w:rsid w:val="00A14EAC"/>
    <w:rsid w:val="00A35696"/>
    <w:rsid w:val="00A64F89"/>
    <w:rsid w:val="00A72915"/>
    <w:rsid w:val="00AB2CE5"/>
    <w:rsid w:val="00C2438B"/>
    <w:rsid w:val="00C57722"/>
    <w:rsid w:val="00C90DB9"/>
    <w:rsid w:val="00D17477"/>
    <w:rsid w:val="00D81AD5"/>
    <w:rsid w:val="00DA1BD4"/>
    <w:rsid w:val="00DB6ADE"/>
    <w:rsid w:val="00DC1522"/>
    <w:rsid w:val="00E025DD"/>
    <w:rsid w:val="00E10286"/>
    <w:rsid w:val="00E1376D"/>
    <w:rsid w:val="00E215DC"/>
    <w:rsid w:val="00ED379C"/>
    <w:rsid w:val="00EE6B3F"/>
    <w:rsid w:val="00EE741A"/>
    <w:rsid w:val="00F01B9E"/>
    <w:rsid w:val="00F03046"/>
    <w:rsid w:val="00F727C3"/>
    <w:rsid w:val="00F76FE2"/>
    <w:rsid w:val="00F94B09"/>
    <w:rsid w:val="00FA6751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0219D01"/>
  <w15:chartTrackingRefBased/>
  <w15:docId w15:val="{62078247-6356-4DBA-9482-40FCF101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15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CE6"/>
    <w:pPr>
      <w:keepNext/>
      <w:keepLines/>
      <w:outlineLvl w:val="0"/>
    </w:pPr>
    <w:rPr>
      <w:rFonts w:asciiTheme="majorHAnsi" w:eastAsiaTheme="majorEastAsia" w:hAnsiTheme="majorHAnsi" w:cstheme="majorBidi"/>
      <w:color w:val="005A9C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CE6"/>
    <w:pPr>
      <w:keepNext/>
      <w:keepLines/>
      <w:outlineLvl w:val="1"/>
    </w:pPr>
    <w:rPr>
      <w:rFonts w:asciiTheme="majorHAnsi" w:eastAsiaTheme="majorEastAsia" w:hAnsiTheme="majorHAnsi" w:cstheme="majorBidi"/>
      <w:color w:val="005A9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C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7CE6"/>
  </w:style>
  <w:style w:type="paragraph" w:styleId="Footer">
    <w:name w:val="footer"/>
    <w:basedOn w:val="Normal"/>
    <w:link w:val="FooterChar"/>
    <w:uiPriority w:val="99"/>
    <w:unhideWhenUsed/>
    <w:rsid w:val="00A72915"/>
    <w:pPr>
      <w:tabs>
        <w:tab w:val="center" w:pos="4513"/>
        <w:tab w:val="right" w:pos="9026"/>
      </w:tabs>
      <w:spacing w:after="0"/>
    </w:pPr>
    <w:rPr>
      <w:color w:val="005A9C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72915"/>
    <w:rPr>
      <w:color w:val="005A9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CE6"/>
    <w:pPr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CE6"/>
    <w:rPr>
      <w:rFonts w:asciiTheme="majorHAnsi" w:eastAsiaTheme="majorEastAsia" w:hAnsiTheme="majorHAnsi" w:cstheme="majorBidi"/>
      <w:color w:val="FFFFFF" w:themeColor="background1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7CE6"/>
    <w:rPr>
      <w:rFonts w:asciiTheme="majorHAnsi" w:eastAsiaTheme="majorEastAsia" w:hAnsiTheme="majorHAnsi" w:cstheme="majorBidi"/>
      <w:color w:val="005A9C"/>
      <w:sz w:val="36"/>
      <w:szCs w:val="32"/>
    </w:rPr>
  </w:style>
  <w:style w:type="paragraph" w:styleId="ListParagraph">
    <w:name w:val="List Paragraph"/>
    <w:basedOn w:val="Normal"/>
    <w:uiPriority w:val="34"/>
    <w:qFormat/>
    <w:rsid w:val="00807CE6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07CE6"/>
    <w:rPr>
      <w:rFonts w:asciiTheme="majorHAnsi" w:eastAsiaTheme="majorEastAsia" w:hAnsiTheme="majorHAnsi" w:cstheme="majorBidi"/>
      <w:color w:val="005A9C"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D6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D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D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11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3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0AE9"/>
    <w:pPr>
      <w:spacing w:after="0" w:line="240" w:lineRule="auto"/>
    </w:pPr>
    <w:rPr>
      <w:sz w:val="24"/>
    </w:rPr>
  </w:style>
  <w:style w:type="character" w:styleId="Strong">
    <w:name w:val="Strong"/>
    <w:basedOn w:val="DefaultParagraphFont"/>
    <w:qFormat/>
    <w:rsid w:val="00753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MA Theme">
      <a:dk1>
        <a:srgbClr val="312C2D"/>
      </a:dk1>
      <a:lt1>
        <a:sysClr val="window" lastClr="FFFFFF"/>
      </a:lt1>
      <a:dk2>
        <a:srgbClr val="005A9C"/>
      </a:dk2>
      <a:lt2>
        <a:srgbClr val="FFFFFF"/>
      </a:lt2>
      <a:accent1>
        <a:srgbClr val="005A9C"/>
      </a:accent1>
      <a:accent2>
        <a:srgbClr val="FFF200"/>
      </a:accent2>
      <a:accent3>
        <a:srgbClr val="02ABC5"/>
      </a:accent3>
      <a:accent4>
        <a:srgbClr val="00A67F"/>
      </a:accent4>
      <a:accent5>
        <a:srgbClr val="F89838"/>
      </a:accent5>
      <a:accent6>
        <a:srgbClr val="F16680"/>
      </a:accent6>
      <a:hlink>
        <a:srgbClr val="005A9C"/>
      </a:hlink>
      <a:folHlink>
        <a:srgbClr val="69A2D7"/>
      </a:folHlink>
    </a:clrScheme>
    <a:fontScheme name="NEMA Font Theme">
      <a:majorFont>
        <a:latin typeface="Open Sans Condense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9E63-284C-4CD6-ABD3-E998E6B8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Shared Services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Reyburn [NEMA]</dc:creator>
  <cp:keywords/>
  <dc:description/>
  <cp:lastModifiedBy>Stella Goodyear [NEMA]</cp:lastModifiedBy>
  <cp:revision>3</cp:revision>
  <dcterms:created xsi:type="dcterms:W3CDTF">2024-03-22T02:53:00Z</dcterms:created>
  <dcterms:modified xsi:type="dcterms:W3CDTF">2024-03-22T03:00:00Z</dcterms:modified>
</cp:coreProperties>
</file>